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EA5C" w14:textId="3920B263" w:rsidR="00322630" w:rsidRPr="00322630" w:rsidRDefault="00322630" w:rsidP="0032263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22630">
        <w:rPr>
          <w:rFonts w:ascii="PT Astra Serif" w:hAnsi="PT Astra Serif"/>
          <w:b/>
          <w:bCs/>
          <w:sz w:val="28"/>
          <w:szCs w:val="28"/>
        </w:rPr>
        <w:t xml:space="preserve">Управление по реализации единой государственной </w:t>
      </w:r>
      <w:proofErr w:type="gramStart"/>
      <w:r w:rsidRPr="00322630">
        <w:rPr>
          <w:rFonts w:ascii="PT Astra Serif" w:hAnsi="PT Astra Serif"/>
          <w:b/>
          <w:bCs/>
          <w:sz w:val="28"/>
          <w:szCs w:val="28"/>
        </w:rPr>
        <w:t>политики  в</w:t>
      </w:r>
      <w:proofErr w:type="gramEnd"/>
      <w:r w:rsidRPr="00322630">
        <w:rPr>
          <w:rFonts w:ascii="PT Astra Serif" w:hAnsi="PT Astra Serif"/>
          <w:b/>
          <w:bCs/>
          <w:sz w:val="28"/>
          <w:szCs w:val="28"/>
        </w:rPr>
        <w:t xml:space="preserve"> области противодействия коррупции, профилактики коррупционных и иных правонарушений администрации Губернатора Ульяновской области разъясняет порядок </w:t>
      </w:r>
      <w:r w:rsidRPr="00322630">
        <w:rPr>
          <w:rFonts w:ascii="PT Astra Serif" w:hAnsi="PT Astra Serif"/>
          <w:b/>
          <w:bCs/>
          <w:sz w:val="28"/>
          <w:szCs w:val="28"/>
        </w:rPr>
        <w:t xml:space="preserve">представления сведений о доходах, расходах, об имуществе и обязательствах имущественного характера и заполнения соответствующей формы справки о доходах, расходах, об имуществе и обязательствах имущественного характера в 2026 году </w:t>
      </w:r>
    </w:p>
    <w:p w14:paraId="239A8D01" w14:textId="17FB11FB" w:rsidR="00322630" w:rsidRPr="00322630" w:rsidRDefault="00322630" w:rsidP="00322630">
      <w:pPr>
        <w:spacing w:after="0" w:line="240" w:lineRule="auto"/>
        <w:jc w:val="center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322630">
        <w:rPr>
          <w:rFonts w:ascii="PT Astra Serif" w:hAnsi="PT Astra Serif"/>
          <w:b/>
          <w:bCs/>
          <w:sz w:val="28"/>
          <w:szCs w:val="28"/>
        </w:rPr>
        <w:t>(за отчетный 2025 год)</w:t>
      </w:r>
    </w:p>
    <w:p w14:paraId="18575597" w14:textId="77777777" w:rsidR="00322630" w:rsidRPr="00322630" w:rsidRDefault="00322630" w:rsidP="00322630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5D70738C" w14:textId="77777777" w:rsidR="00322630" w:rsidRPr="00322630" w:rsidRDefault="00322630" w:rsidP="0032263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22630">
        <w:rPr>
          <w:rFonts w:ascii="PT Astra Serif" w:hAnsi="PT Astra Serif"/>
          <w:sz w:val="28"/>
          <w:szCs w:val="28"/>
        </w:rPr>
        <w:t xml:space="preserve">Минтрудом России в рамках оказания методической помощи в реализации требований федеральных законов, нормативных правовых актов Президента и Правительства Российской Федерации о противодействии коррупции подготовлены для использования в работе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о доходах, расходах, об имуществе и обязательствах имущественного характера в 2026 году (за отчетный 2025 год). </w:t>
      </w:r>
    </w:p>
    <w:p w14:paraId="44D78B7F" w14:textId="77777777" w:rsidR="00322630" w:rsidRPr="00322630" w:rsidRDefault="00322630" w:rsidP="0032263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22630">
        <w:rPr>
          <w:rFonts w:ascii="PT Astra Serif" w:hAnsi="PT Astra Serif"/>
          <w:sz w:val="28"/>
          <w:szCs w:val="28"/>
        </w:rPr>
        <w:t xml:space="preserve">Методические рекомендации актуализированы с учетом изменений нормативных правовых актов Российской Федерации и подлежат применению в рамках декларационной кампании 2026 года (за отчетный 2025 год), а также при предоставлении сведений о доходах кандидатами, претендующими на замещение соответствующих должностей. </w:t>
      </w:r>
    </w:p>
    <w:p w14:paraId="56607A25" w14:textId="77777777" w:rsidR="00322630" w:rsidRPr="00322630" w:rsidRDefault="00322630" w:rsidP="0032263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22630">
        <w:rPr>
          <w:rFonts w:ascii="PT Astra Serif" w:hAnsi="PT Astra Serif"/>
          <w:sz w:val="28"/>
          <w:szCs w:val="28"/>
        </w:rPr>
        <w:t xml:space="preserve">С учетом положений нормативных правовых актов и Методических рекомендаций управление по реализации единой государственной политики  в области противодействия коррупции, профилактики коррупционных и иных правонарушений администрации Губернатора Ульяновской области обращает внимание на изменение оснований для предоставления сведений о доходах, об имуществе и обязательствах имущественного характера – обязанность представлять сведения о доходах, об имуществе и обязательствах имущественного характера возлагается: на гражданина, претендующего на замещение государственной должности Ульяновской области, должности гражданской службы Ульяновской области, должности муниципальной службы Ульяновской области, предусмотренной перечнем, должности руководителя государственного (муниципального) учреждения Ульяновской области; на гражданского (муниципального) служащего Ульяновской области, претендующего на замещение должности гражданской (муниципальной) службы Ульяновской области, предусмотренной перечнем; на гражданского служащего Ульяновской области, назначаемого на должность в порядке перевода из другого государственного органа; на лицо, замещающее государственную (муниципальную) должность Ульяновской области, гражданского (муниципального) служащего Ульяновской области, замещающего должность гражданской (муниципальной) службы Ульяновской области, предусмотренную перечнем, руководителя государственного (муниципального) учреждения Ульяновской области в случае возникновения оснований для представления сведений о расходах в соответствии с </w:t>
      </w:r>
      <w:r w:rsidRPr="00322630">
        <w:rPr>
          <w:rFonts w:ascii="PT Astra Serif" w:hAnsi="PT Astra Serif"/>
          <w:sz w:val="28"/>
          <w:szCs w:val="28"/>
        </w:rPr>
        <w:lastRenderedPageBreak/>
        <w:t xml:space="preserve">Федеральным законом «О контроле за соответствием расходов лиц, замещающих государственные должности, и иных лиц их доходам» – не позднее 30 апреля года, следующего за годом, в котором возникли такие основания (за отчетный 2025 год – до 30 апреля 2026 г.). </w:t>
      </w:r>
    </w:p>
    <w:p w14:paraId="3E53CE4B" w14:textId="77777777" w:rsidR="00322630" w:rsidRPr="00322630" w:rsidRDefault="00322630" w:rsidP="0032263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22630">
        <w:rPr>
          <w:rFonts w:ascii="PT Astra Serif" w:hAnsi="PT Astra Serif"/>
          <w:sz w:val="28"/>
          <w:szCs w:val="28"/>
        </w:rPr>
        <w:t xml:space="preserve">Сведения о доходах, расходах, об имуществе и обязательствах имущественного характера представляются по утвержденной Указом Президента Российской Федерации форме справки, заполненной с использованием специального программного обеспечения «Справки БК» (далее – СПО «Справки БК») (актуальная версия СПО «Справки БК» от 01 апреля 2025 г. 3.0.4). </w:t>
      </w:r>
    </w:p>
    <w:p w14:paraId="58C56CCE" w14:textId="4E3ABC3A" w:rsidR="00322630" w:rsidRPr="00322630" w:rsidRDefault="00322630" w:rsidP="0032263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22630">
        <w:rPr>
          <w:rFonts w:ascii="PT Astra Serif" w:hAnsi="PT Astra Serif"/>
          <w:sz w:val="28"/>
          <w:szCs w:val="28"/>
        </w:rPr>
        <w:t>К Методическим рекомендациями также прилагаются основные новеллы, содержащие перечень основных изменений применительно к процедуре предоставления сведений о доходах, расходах, об имуществе и обязательствах имущественного характера.</w:t>
      </w:r>
    </w:p>
    <w:p w14:paraId="35FF94EC" w14:textId="7E399EA9" w:rsidR="00322630" w:rsidRPr="00322630" w:rsidRDefault="00322630" w:rsidP="0032263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Ознакомиться с методическими рекомендациями можно по ссылке: </w:t>
      </w:r>
      <w:r w:rsidR="00845169" w:rsidRPr="00845169">
        <w:rPr>
          <w:rFonts w:ascii="PT Astra Serif" w:hAnsi="PT Astra Serif"/>
          <w:sz w:val="28"/>
          <w:szCs w:val="28"/>
        </w:rPr>
        <w:t>https://fexch.mintrud.gov.ru/s/CkE6F9R3m6DtfZ4</w:t>
      </w:r>
    </w:p>
    <w:sectPr w:rsidR="00322630" w:rsidRPr="00322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30"/>
    <w:rsid w:val="00322630"/>
    <w:rsid w:val="00845169"/>
    <w:rsid w:val="00BB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18F0"/>
  <w15:chartTrackingRefBased/>
  <w15:docId w15:val="{C2050688-C47F-492D-876F-A7BE115B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2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2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2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26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26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26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26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26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26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2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2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2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2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2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26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26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26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2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26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26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Наталья Николаевна</dc:creator>
  <cp:keywords/>
  <dc:description/>
  <cp:lastModifiedBy>Салихова Наталья Николаевна</cp:lastModifiedBy>
  <cp:revision>1</cp:revision>
  <dcterms:created xsi:type="dcterms:W3CDTF">2026-04-02T10:43:00Z</dcterms:created>
  <dcterms:modified xsi:type="dcterms:W3CDTF">2026-04-02T10:54:00Z</dcterms:modified>
</cp:coreProperties>
</file>