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426"/>
        <w:jc w:val="center"/>
        <w:spacing w:after="0" w:line="240" w:lineRule="auto"/>
        <w:rPr>
          <w:rFonts w:ascii="Times New Roman" w:hAnsi="Times New Roman" w:cs="Times New Roman" w:eastAsia="Times New Roman"/>
          <w:b/>
          <w:bCs/>
          <w:color w:val="212121"/>
          <w:lang w:eastAsia="ru-RU"/>
        </w:rPr>
        <w:outlineLvl w:val="0"/>
      </w:pPr>
      <w:r>
        <w:rPr>
          <w:rFonts w:ascii="Times New Roman" w:hAnsi="Times New Roman" w:cs="Times New Roman" w:eastAsia="Times New Roman"/>
          <w:b/>
          <w:bCs/>
          <w:color w:val="212121"/>
          <w:lang w:eastAsia="ru-RU"/>
        </w:rPr>
        <w:t xml:space="preserve">Информационное сообщение о проведении Конкурса на предоставление грантов в форме субсидий юридическим лицам, осуществляющим производство, распространение и выпуск периодических печатных изданий</w:t>
      </w:r>
      <w:r/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  <w:outlineLvl w:val="0"/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1. Конкурс проводится на основании постановления Правит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ельства Ульяновской области от 18.01.2019 № 11-П «Об утверждении Правил предоставления грантов в форме субсидий из областного бюджета Ульяновской области организациям, осуществляющим деятельность в сфере электронных и печатных средств массовой информации»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(далее – Правила)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в течение 30-ти календарных дней </w:t>
      </w:r>
      <w:r>
        <w:rPr>
          <w:rFonts w:ascii="Times New Roman" w:hAnsi="Times New Roman" w:cs="Times New Roman"/>
          <w:color w:val="000000" w:themeColor="text1"/>
        </w:rPr>
        <w:t xml:space="preserve">с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17 февраля 2026 года 10:00 до 19 марта 202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 года 10:00.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2. Организацию Конкурса осуществляет управление информационной политики администрации Губернатора Ульяновской области.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Почтовый адрес Управления: 432048, город Ульяновск, улица Пушкинская, дом 11;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Место нахождения Управления: 432017, город Ульяновск, площадь Соборная, дом 1;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адрес электронной почты Управления: dmk073@yandex.ru.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3. Конкурс проводится в следующих номинациях: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1) «Экономическое развитие Ульяновской области»;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2) «Развитие социальной и культурной сфер в Ульяновской области»;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3) «Сохранение и укрепление традиционных российских духовно-нравственных ценностей»;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4) «Реализация национальных проектов в Ульяновской области».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4. Результатами предоставления грантов является количество полос в периодическом печатном издании. Срок выполнения работ: </w:t>
      </w:r>
      <w:bookmarkStart w:id="0" w:name="_Hlk217986559"/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с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06.0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4.202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 по 30.12.202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г.</w:t>
      </w:r>
      <w:bookmarkEnd w:id="0"/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5. Информация о грантах размещается на едином портале бюджетной системы Российской Федерации в сети «Интернет» www.budget.gov.ru 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  <w:highlight w:val="none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Единый портал бюджетной системы Российской Федерации является составной ча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стью системы «Электронный бюджет» и предоставляет в режиме реального времени необходимую информацию о бюджете и бюджетном процессе в Российской Федерации, а также позволяет принимать участие всем заинтересованным гражданам в управлении бюджетным процессом.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</w:rPr>
        <w:t xml:space="preserve">Информация о грантах размещается на официальном сайте Губернатора и Правительства Ульяновской области в сети «Интер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нет» </w:t>
      </w:r>
      <w:r>
        <w:rPr>
          <w:rFonts w:ascii="PT Astra Serif" w:hAnsi="PT Astra Serif"/>
          <w:bCs/>
          <w:color w:val="000000" w:themeColor="text1"/>
          <w:sz w:val="26"/>
          <w:szCs w:val="28"/>
          <w:lang w:val="en-US"/>
        </w:rPr>
        <w:t xml:space="preserve">https</w:t>
      </w:r>
      <w:r>
        <w:rPr>
          <w:rFonts w:ascii="PT Astra Serif" w:hAnsi="PT Astra Serif"/>
          <w:bCs/>
          <w:color w:val="000000" w:themeColor="text1"/>
          <w:sz w:val="26"/>
          <w:szCs w:val="28"/>
        </w:rPr>
        <w:t xml:space="preserve">://</w:t>
      </w:r>
      <w:r>
        <w:rPr>
          <w:rFonts w:ascii="PT Astra Serif" w:hAnsi="PT Astra Serif"/>
          <w:bCs/>
          <w:color w:val="000000" w:themeColor="text1"/>
          <w:sz w:val="26"/>
          <w:szCs w:val="28"/>
          <w:lang w:val="en-US"/>
        </w:rPr>
        <w:t xml:space="preserve">ulgov</w:t>
      </w:r>
      <w:r>
        <w:rPr>
          <w:rFonts w:ascii="PT Astra Serif" w:hAnsi="PT Astra Serif"/>
          <w:bCs/>
          <w:color w:val="000000" w:themeColor="text1"/>
          <w:sz w:val="26"/>
          <w:szCs w:val="28"/>
        </w:rPr>
        <w:t xml:space="preserve">.</w:t>
      </w:r>
      <w:r>
        <w:rPr>
          <w:rFonts w:ascii="PT Astra Serif" w:hAnsi="PT Astra Serif"/>
          <w:bCs/>
          <w:color w:val="000000" w:themeColor="text1"/>
          <w:sz w:val="26"/>
          <w:szCs w:val="28"/>
          <w:lang w:val="en-US"/>
        </w:rPr>
        <w:t xml:space="preserve">gosuslugi</w:t>
      </w:r>
      <w:r>
        <w:rPr>
          <w:rFonts w:ascii="PT Astra Serif" w:hAnsi="PT Astra Serif"/>
          <w:bCs/>
          <w:color w:val="000000" w:themeColor="text1"/>
          <w:sz w:val="26"/>
          <w:szCs w:val="28"/>
        </w:rPr>
        <w:t xml:space="preserve">.</w:t>
      </w:r>
      <w:r>
        <w:rPr>
          <w:rFonts w:ascii="PT Astra Serif" w:hAnsi="PT Astra Serif"/>
          <w:bCs/>
          <w:color w:val="000000" w:themeColor="text1"/>
          <w:sz w:val="26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color w:val="000000" w:themeColor="text1"/>
          <w:sz w:val="26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6. Требования, которым участник отбора должен соответствовать: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1) по состоянию на дату, непосредственно предшествующую дате представления заявки: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а) участник отбора не должен являться государственным (муниципальным) учреждением;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б) участник отбора должен иметь опыт деятельности в сфере средств массовой информации на протяжении не менее одного года;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в) участник отбора не должен являться иностранным юридическим лицом, в том числе местом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г) участник отбора не должен находиться в перечне организаций, в отношении которых имеются сведения об их причастности к экстремистской деятельности или терроризму;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д) участник отбора не должен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находиться в составляемых в рамках реализации полномочий, предусмотренных главой VII Устава ООН, Советом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е) участник отбора не должен получать средства областного бюджета Ульяновской области на основании иных нормативных правовых актов Ульяновской области на те же цели, предусмотренные настоящим Конкурсом;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ж) участник отбора не должен являться иностранным агентом в соответствии с Федеральным законом от 14.07.2022 N 255-ФЗ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«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О контроле за деятельностью лиц, находящихся под иностранным влиянием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»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з) у участника отбора должна отсутствовать просроченная задолженность по возврату в о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бластной бюджет Ульяновской области субсидий, предоставленных в том числе в соответствии с иными нормативными правовыми актами Ульяновской области, и иная просроченная (неурегулированная) задолженность по денежным обязательствам перед Ульяновской областью;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и) участник отбора не должен находиться в процессе реорганизации (з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а исключением реорганизации в форме присоединения к участнику отбора другого юридического лица), ликвидации, в отношении его не введена процедура банкротства, деятельность не приостановлена в порядке, предусмотренном законодательством Российской Федерации;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к) участнику отбора не должно бы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ть назначено административное наказание за нарушение условий предоставления иных субсидий (грантов в форме субсидий) из областного бюджета Ульяновской области, если срок, в течение которого участник отбора считается подвергнутым такому наказанию, не истек;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2) по состоянию на дату, которая предшествует дате представления в Управление заявки не более чем на 30 календарных дней, у участника отбора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 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7. Для подтверждения соответствия требованиям участник в системе «Электронный бюджет»: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1) формирует заявку в электронной форме посредством заполнения соответствующих экранных форм веб-интерфейса;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2) проставляет чек-бокс при подтверждении соответствия требованиям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3)  </w:t>
      </w:r>
      <w:r>
        <w:rPr>
          <w:rFonts w:ascii="Times New Roman" w:hAnsi="Times New Roman" w:cs="Times New Roman"/>
          <w:color w:val="000000" w:themeColor="text1"/>
        </w:rPr>
        <w:t xml:space="preserve"> размещает электронную копию свидетельства о регистрации СМИ в разделе «Требования к участникам» для подтверждения соответствия подпункту 1 пункта 6 настоящего объявления.</w:t>
      </w:r>
      <w:r>
        <w:rPr>
          <w:rFonts w:ascii="Times New Roman" w:hAnsi="Times New Roman" w:cs="Times New Roman"/>
          <w:color w:val="000000" w:themeColor="text1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8. Получателями грантов являются юридические лица (за исключением государственных (муниципальных) учреждений), осуществляющие производство, распространение и выпуск периодических печатных изданий.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9. Для участия в Конкурсе участники отбора в т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ечение срока приема заявок, указанного в информационном сообщении, формируют заявку в электронной форме, которая подписывается усиленной квалифицированной электронной подписью лица, исполняющего функции единоличного исполнительного органа участника отбора.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Датой и временем представления участником отбора заявки считаются дата и время подписания заявки с присвоением ей регистрационного номера в системе «Электронный бюджет».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К заявке прилагаются: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выписка из Единого государственного реестра юридических лиц;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образец продукции СМИ;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концепция производства продукции СМИ, содержащая: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описание продукции СМИ;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сведения о целях и задачах производства продукции СМИ;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информацию о количественных параметрах и технических характеристиках продукции СМИ (тираже, полосности);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информацию о целевой аудитории, на которую рассчитана продукция СМИ, и предполагаемом уровне востребованности и значимости указанной продукции СМИ;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д) степень новизны, оригинальности и актуальности продукции СМИ;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е) информацию о форме, способах и методах реализации продукции СМИ, позволяющую судить о творческих характеристиках представленной концепции (новизне и оригинальности, концептуальной целостности и уникальности содержания);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ж) све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дения об осуществлении информационного сопровождения и продвижения продукции СМИ, в том числе о взаимодействии в указанных целях участника отбора с иными организациями, деятельность которых связана с производством, распространением и выпуском продукции СМИ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смета затрат,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которая оформляется посредством заполнения экранных форм веб-интерфейса системы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Электронный бюджет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справка налогового органа об исполнении участником отбора обязанности по уплате налогов, сборов и страховых взносов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бюджеты бюджетной системы Российской Федерации, выданной налоговым органом не ранее 30 календарных дней до даты представления заявки в Управление;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согласие на публикацию (размещение) в сети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Интернет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информации об участнике отбора, о представляемой участником отбора заявке, иной информации об участнике отбора, связанной с Конкурсом, которое подтверждается посредством заполнения соответствующих экранных форм веб-интерфейса системы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Электронный бюджет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справка, подтверждающая наличие или отсутствие у участника отбора страниц в информационных системах и (или) программах для электронных вычислительных машин (далее - социальные сети), с приложением сведений о странице в социальной сети в случае ее наличия;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</w:r>
      <w:bookmarkStart w:id="1" w:name="P133"/>
      <w:r>
        <w:rPr>
          <w:color w:val="000000" w:themeColor="text1"/>
        </w:rPr>
      </w:r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8) справка, содержащая данные о тираже, с приложением сведений из официальных источников. При этом тираж издания указывается по состоянию на момент представления заявки;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9) справка, содержащая информацию об участии участника отбора в региональных, федеральных,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международных конкурсах в сфере СМИ и информацию о наличии или отсутствии у участника отбора и (или) его работников, осуществляющих производство продукции СМИ, наград и иных поощрений в сфере СМИ, с приложением документов, подтверждающих такую информацию.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Документы, электронные копии которых прилагаются к заявке, должны быть оформлены в соответствии с требованиями законодательства Российской Федерации. Не допускается представление документов, на которых отсутствуют п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одпись уполномоченного лица, оттиск печати (при наличии) или цифровая подпись, имеются опечатки, подчистки, исправления, ошибки в расчетах, а также если тексты документов не поддаются прочтению или представленные документы содержат противоречивые сведения.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Электронные копии документов должны иметь распространенные открытые форматы, обеспечивающие возможность просмотра всего документа либ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10. Критериями оценки заявок и приложенным к ним документов являются: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1) тираж,</w:t>
      </w:r>
      <w:r>
        <w:rPr>
          <w:rFonts w:ascii="Times New Roman" w:hAnsi="Times New Roman" w:cs="Times New Roman"/>
          <w:color w:val="000000" w:themeColor="text1"/>
        </w:rPr>
        <w:t xml:space="preserve"> указывается по состоянию на момент представления заявки</w:t>
      </w:r>
      <w:r>
        <w:rPr>
          <w:rFonts w:ascii="Times New Roman" w:hAnsi="Times New Roman" w:cs="Times New Roman"/>
          <w:color w:val="000000" w:themeColor="text1"/>
        </w:rPr>
        <w:t xml:space="preserve">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2) степень новизны, актуальности и оригинальности продукции СМИ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3) участие участника отбора в региональных, федеральных, международных конкурсах в сфере СМИ, наличие у участника отбора наград и иных поощрений в сфере СМИ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4) количество социальных сетей, в которых у участника отбора имеются страницы.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11. Участник отбора вправе отозвать предст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авленную заявку до истечения срока приема заявок, указанного в информационном сообщении, посредством формирования в электронной форме уведомления об отзыве заявки, подписанного усиленной квалифицированной электронной подписью руководителя участника отбора.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Управление возвращает участнику отбора заявку в срок не позднее 5 рабочих дней со дня поступления уведомления.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Участник отбора вправе внести изменение в заявку до истечения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срока приема заявок, указанного в информационном сообщении, посредством формирования в электронной форме уведомления об отзыве заявки, подписанного усиленной квалифицированной электронной подписью руководителя участника отбора, и формирования новой заявки.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12. Не позднее 1-го рабочего дня, следующего за днем начала срока приема заявок, открывается доступ к заявкам в системе «Электронный бюджет».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В случаях установления неполноты содержащихся в заявках сведений Управление возвращает их на доработку.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Решение о возврате участнику отбора заявки на доработку оформляется посредством заполнения экранных форм веб-интерфейса единого портала, и в нем указываются положения заявки, нуждающиеся в доработке.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Участник отбора формирует доработанную заявку и повторно представляет её не позднее 3-го рабочего дня, следующего за днем направления заявки на доработку, но не позднее дня окончания срока приема заявок.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13. Не позднее 14 календарных дней, следующих за днем ок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ончания срока приема заявок, установленного в информационном сообщении, оформляется протокол вскрытия заявок. Заявка признается надлежащей, если она соответствует требованиям, указанным в информационном сообщении, и отсутствуют основания для её отклонения.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В случае если по результатам ра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ссмотрения заявок единственная заявка признана надлежащей, а также в случае, если в течение срока приема заявок, указанного в информационном сообщении, представлена только одна заявка, признанная надлежащей, участник отбора признается победителем Конкурса.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В случае если в течение срока приема заявок, указанного в информационном сообщении, не представлено ни одной заявки либо ни одна из заявок не признана надлежащей, Конкурс признается несостоявшимся.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14. Основаниями для отклонения заявки по результатам рассмотрения заявок являются: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1) несоответствие участника отбора требованиям, указанным в настоящем информационном сообщении;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2) непредставление и (или) представление не в полном объеме документов, указанных в настоящем информационном сообщении;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3) несоответствие представленных участником отбора документов и (или) заявки требованиям, указанным в настоящем информационном сообщении;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4) недостоверность информации, содержащейся в документах, представленных в целях подтверждения соответствия участника отбора требованиям;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5) представление заявки после даты, определенной в информационном сообщении для представления заявок.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15. Оценка заявок осуществляется Комиссией не позднее 14 календарных дней с даты принятия решения о признании заявок надлежащими.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Члены Комиссии оценивают заявки с приложенными к ним электронными копиями документов с использованием 100-балльной шкалы оценки на предмет их соответствия каждому из следующих критериев: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тираж (коэффициент весового значения критерия в общей оценке - 0,3):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0 баллов - в случае отсутствия у выпускаемых (производимых, распространяемых) участником отбора СМИ тиража;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30 баллов - в случае, если участник отбора осуществляет производство, распространение и выпуск периодических печатных изданий, имеющих тираж до 10 тысяч экземпляров;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60 баллов - в случае, если участник отбора осуществляет производство, распространение и выпуск периодических печатных изданий, имеющих тираж от 10 до 1 млн. экземпляров;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100 баллов - в случае, если участник отбора осуществляет производство, распространение и выпуск периодических печатных изданий, имеющих тираж свыше 1 млн. экземпляров;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степень новизны, актуальности и оригинальности продукции СМИ (коэффициент весового значения критерия в общей оценке - 0,3):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0 баллов, если концепция производства продукции СМИ полностью повторяет опыт прошлых лет, тематика не актуальна, предложения и решения подготовки информационных материалов не уникальны, имеют заимствования из других источников;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50 баллов, если в концепции производства продукции СМИ предусмотрено обновление тематики, затрагиваются актуальные вопросы жизни в Ульяновской области, информационные сообщения уникальны;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100 баллов, если концепция производства продукции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предусматривает изменение подхода к подготовке информационных сообщений, продукция СМИ не имеет аналогов, предлагаются новые проекты и решения подготовки информационных материалов, темы соответствуют актуальным направлениям развития Ульяновской области;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участие участника отбора в региональных, федеральных, международных конкурсах в сфере СМИ, наличие у участника отбора наград и иных поощрений в сфере СМИ (коэффициент весового значения критерия в общей оценке - 0,2):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0 баллов - в случае отсутствия информации об участии участника отбора в региональных, федеральных, международных конкурсах в сфере СМИ и отсутствия у участника отбора наград и иных поощрений в сфере СМИ;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50 баллов - в случае наличия информации об участии участника отбо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 в региональных, федеральных, международных конкурсах в сфере СМИ или наличия у участника отбора и (или) его работников, осуществляющих производство продукции СМИ, наград и иных поощрений в сфере СМИ, в том числе благодарностей, премий, дипломов, грамот;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100 баллов - в случае наличия информации об участии участника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бора в региональных, федеральных, международных конкурсах в сфере СМИ и наличия у участника отбора и (или) его работников, осуществляющих производство продукции СМИ, наград и иных поощрений в сфере СМИ, в том числе благодарностей, премий, дипломов, грамот;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4) количество социальных сетей, в которых у участника отбора имеются страницы (коэффициент весового значения критерия в общей оценке - 0,2):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0 баллов - в случае отсутствия у участника отбора страниц в социальных сетях;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50 баллов - в случае наличия у участника отбора одной или двух страниц в социальных сетях;</w:t>
      </w:r>
      <w:r>
        <w:rPr>
          <w:color w:val="000000" w:themeColor="text1"/>
        </w:rPr>
      </w:r>
    </w:p>
    <w:p>
      <w:pPr>
        <w:pStyle w:val="636"/>
        <w:ind w:left="0" w:righ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100 баллов - в случае наличия у участника отбора более двух страниц в социальных сетях.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Итоговое количество баллов оцениваемой заявки определяется путем умножения среднего арифметического суммы баллов по каждому критерию, на соответствующий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коэффициент весового значения критерия в общей оценке и дальнейшего сложения полученных значений.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Победителями Конкурса в каждой из его номинаций признаются д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опущенные к участию в Конкурсе организации СМИ, набравшие наибольшее количество баллов по итогам оценки заявок. В случае равенства количества полученных баллов победителем Конкурса признается организация СМИ, имеющая более раннюю дату представления заявки.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В случае если по результатам оценки заявок итоговое количество баллов, полученное каждой представленной заявкой, составило 0 баллов, Конкурс считается несостоявшимся.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16. В цел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ях оценки заявок и определения победителей Конкурса создается Комиссия, в состав которой входят эксперты, осуществляющие деятельность и имеющие опыт в сфере СМИ.  Формирование конкурсной комиссии, полномочиями которой являются вскрытие заявок и подписание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протоколов  на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 едином портале усиленной квалифицированной электронной подписью, не требуется.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17. Решение о предоставлении гранта или решение об отказе в предоставлении гранта оформляется распоряжением Правительства Ульяновской области и направляется участнику отбора посредством использования системы «Электронный бюджет».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Основаниями для принятия Правительством Ульяновской области решения об отказе в предоставлении гранта являются: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1) отклонение заявки, за исключением случая, если участником отбора устранены обстоятельства, послужившие основанием для принятия решения об отклонении заявки;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2) несоответствие участника отбора установленным требованиям;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3) присвоение заявке, представленной участником отбора, наименьшего количества баллов в порядке очередности в рамках лимитов бюджетных обязательств;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4) недостаточность лимитов бюджетных обязательств на предоставление грантов, доведенных до Правительства Ульяновской области как получателя средств областного бюджета Ульяновской области;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5) отзыв заявки участником отбора.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18. Размер грантов и предельное число победителей Конкурса в каждой номинации Конкурса определяются правовым актом Правительства Ульяновской области и составляет: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1) в номинации «Экономическое развитие Ульяновской области»: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tabs>
          <w:tab w:val="left" w:pos="1418" w:leader="none"/>
          <w:tab w:val="left" w:pos="1701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а) один грант в размере 1000,0 тыс. рублей на информационную поддержку мероприятий, проводимых на территории Ульяновской области, осуществляемую периодическими печатными изданиями; 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tabs>
          <w:tab w:val="left" w:pos="1418" w:leader="none"/>
          <w:tab w:val="left" w:pos="1701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б) три гранта в размере 500,0 тыс. рублей на информационную поддержку мероприятий, проводимых на территории Ульяновской области, осуществляемую периодическими печатными изданиями.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2) в номинации «Развитие социальной и культурной сфер в Ульяновской области»: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tabs>
          <w:tab w:val="left" w:pos="1418" w:leader="none"/>
          <w:tab w:val="left" w:pos="1701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а) один грант в размере 1000,0 тыс. рублей на информационную поддержку мероприятий, проводимых на территории Ульяновской области, осуществляемую периодическими печатными изданиями; 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tabs>
          <w:tab w:val="left" w:pos="1418" w:leader="none"/>
          <w:tab w:val="left" w:pos="1701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б) три гранта в размере 500,0 тыс. рублей на информационную поддержку мероприятий, проводимых на территории Ульяновской области, осуществляемую периодическими печатными изданиями.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3) в номинации «Сохранение и укрепление традиционных российских духовно-нравственных ценностей»: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tabs>
          <w:tab w:val="left" w:pos="1418" w:leader="none"/>
          <w:tab w:val="left" w:pos="1701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а) один грант в размере 1000,0 тыс. рублей на информационную поддержку мероприятий, проводимых на территории Ульяновской области, осуществляемую периодическими печатными изданиями; 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tabs>
          <w:tab w:val="left" w:pos="1418" w:leader="none"/>
          <w:tab w:val="left" w:pos="1701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б) два гранта в размере 500,0 тыс. рублей на информационную поддержку мероприятий, проводимых на территории Ульяновской области, осуществляемую периодическими печатными изданиями.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4) в номинации «Реализация национальных проектов в Ульяновской области»: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tabs>
          <w:tab w:val="left" w:pos="1418" w:leader="none"/>
          <w:tab w:val="left" w:pos="1701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а) один грант в размере 1000,0 тыс. рублей на информационную поддержку мероприятий, проводимых на территории Ульяновской области, осуществляемую периодическими печатными изданиями; 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tabs>
          <w:tab w:val="left" w:pos="1418" w:leader="none"/>
          <w:tab w:val="left" w:pos="1701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б) два гранта в размере 500,0 тыс. рублей на информационную поддержку мероприятий, проводимых на территории Ульяновской области, осуществляемую периодическими печатными изданиями.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Распред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еление грантов осуществляется организациям СМИ, набравшим наибольшее количество баллов по итогам оценки заявок. В случае равенства количества полученных баллов победителем Конкурса признается организация СМИ, имеющая более раннюю дату представления заявки.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19. В целях завершения Конкурса и определения победителей формируется протокол, включающий информацию о количестве набранных участником отбора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 баллов по каждому критерию оценки, об общем количестве набранных баллов по результатам оценки заявок, о победителях Конкурса с указанием размеров грантов, предусмотренных им для предоставления, об отклонении заявок с указанием оснований для их отклонения.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Протокол автоматически формируется и размещается на едином портале не позднее 1-го рабочего дня, следующего за днем его подписания.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Упра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вление размещает протокол на официальном сайте Губернатора и Правительства Ульяновской области и едином портале бюджетной системы Российской Федерации в сети «Интернет» не позднее 14-го календарного дня, следующего за днём определения победителей конкурса.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20. Разъяснения положений Конкурса осуществляется в течение 30-ти календарных дней с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17 февраля 2026 года до 16 марта 202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 года </w:t>
      </w:r>
      <w:r>
        <w:rPr>
          <w:rFonts w:ascii="Times New Roman" w:hAnsi="Times New Roman" w:cs="Times New Roman"/>
          <w:color w:val="000000" w:themeColor="text1"/>
        </w:rPr>
        <w:t xml:space="preserve"> в рабочие дни с 09.00 до 18.00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 в устной и (или) письменной форме после направления запроса на разъяснения на электронную почту gurianova_z@mail.ru. Срок ответа на запрос – не более трёх рабочих дней.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21. Правительство Ульяновской области не позднее 30 дней со дня принятия им решения о предоставлении грантов заключает с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победителями Конкурса Соглашение в соответствии с типовой формой, установленной Министерством финансов Ульяновской области, с использованием государственной информационной системы «Автоматизированный Центр Контроля процесса планирования и анализа бюджета».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color w:val="000000" w:themeColor="text1"/>
        </w:rPr>
      </w:pP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Получатель гранта признаетс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я уклонившимся от заключения Соглашения в случае, если он не подписал такое Соглашение в течение указанного срока со дня поступления Соглашения на подписание и не направил возражения по проекту указанного Соглашения. В этом случае грант не предоставляется.</w:t>
      </w:r>
      <w:r>
        <w:rPr>
          <w:color w:val="000000" w:themeColor="text1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 w:eastAsia="Times New Roman"/>
          <w:b/>
          <w:bCs/>
          <w:color w:val="212121"/>
          <w:lang w:eastAsia="ru-RU"/>
        </w:rPr>
        <w:outlineLvl w:val="0"/>
      </w:pPr>
      <w:r>
        <w:rPr>
          <w:color w:val="000000" w:themeColor="text1"/>
        </w:rPr>
      </w:r>
      <w:bookmarkStart w:id="2" w:name="_Hlk217990913"/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Обращаем внимание, что с 0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3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.1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.202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5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 года официальный сайт Губернатора и Правительства Ульяновской области создан в подсистеме «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Госвеб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» и находится по адресу </w:t>
      </w:r>
      <w:hyperlink r:id="rId8" w:tooltip="http://www.ulgov.gosuslugi.ru" w:history="1">
        <w:r>
          <w:rPr>
            <w:rStyle w:val="631"/>
            <w:rFonts w:ascii="Times New Roman" w:hAnsi="Times New Roman" w:cs="Times New Roman" w:eastAsia="Times New Roman"/>
            <w:color w:val="000000" w:themeColor="text1"/>
            <w:lang w:val="en-US" w:eastAsia="ru-RU"/>
          </w:rPr>
          <w:t xml:space="preserve">www</w:t>
        </w:r>
        <w:r>
          <w:rPr>
            <w:rStyle w:val="631"/>
            <w:rFonts w:ascii="Times New Roman" w:hAnsi="Times New Roman" w:cs="Times New Roman" w:eastAsia="Times New Roman"/>
            <w:color w:val="000000" w:themeColor="text1"/>
            <w:lang w:eastAsia="ru-RU"/>
          </w:rPr>
          <w:t xml:space="preserve">.</w:t>
        </w:r>
        <w:r>
          <w:rPr>
            <w:rStyle w:val="631"/>
            <w:rFonts w:ascii="Times New Roman" w:hAnsi="Times New Roman" w:cs="Times New Roman" w:eastAsia="Times New Roman"/>
            <w:color w:val="000000" w:themeColor="text1"/>
            <w:lang w:val="en-US" w:eastAsia="ru-RU"/>
          </w:rPr>
          <w:t xml:space="preserve">ulgov</w:t>
        </w:r>
        <w:r>
          <w:rPr>
            <w:rStyle w:val="631"/>
            <w:rFonts w:ascii="Times New Roman" w:hAnsi="Times New Roman" w:cs="Times New Roman" w:eastAsia="Times New Roman"/>
            <w:color w:val="000000" w:themeColor="text1"/>
            <w:lang w:eastAsia="ru-RU"/>
          </w:rPr>
          <w:t xml:space="preserve">.</w:t>
        </w:r>
        <w:r>
          <w:rPr>
            <w:rStyle w:val="631"/>
            <w:rFonts w:ascii="Times New Roman" w:hAnsi="Times New Roman" w:cs="Times New Roman" w:eastAsia="Times New Roman"/>
            <w:color w:val="000000" w:themeColor="text1"/>
            <w:lang w:val="en-US" w:eastAsia="ru-RU"/>
          </w:rPr>
          <w:t xml:space="preserve">gosuslugi</w:t>
        </w:r>
        <w:r>
          <w:rPr>
            <w:rStyle w:val="631"/>
            <w:rFonts w:ascii="Times New Roman" w:hAnsi="Times New Roman" w:cs="Times New Roman" w:eastAsia="Times New Roman"/>
            <w:color w:val="000000" w:themeColor="text1"/>
            <w:lang w:eastAsia="ru-RU"/>
          </w:rPr>
          <w:t xml:space="preserve">.</w:t>
        </w:r>
        <w:r>
          <w:rPr>
            <w:rStyle w:val="631"/>
            <w:rFonts w:ascii="Times New Roman" w:hAnsi="Times New Roman" w:cs="Times New Roman" w:eastAsia="Times New Roman"/>
            <w:color w:val="000000" w:themeColor="text1"/>
            <w:lang w:val="en-US" w:eastAsia="ru-RU"/>
          </w:rPr>
          <w:t xml:space="preserve">ru</w:t>
        </w:r>
      </w:hyperlink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 С 01.01.2026 года на указанном сайте будет располагаться вся информация о </w:t>
      </w:r>
      <w:r>
        <w:rPr>
          <w:rFonts w:ascii="Times New Roman" w:hAnsi="Times New Roman" w:cs="Times New Roman" w:eastAsia="Times New Roman"/>
          <w:color w:val="000000" w:themeColor="text1"/>
          <w:lang w:eastAsia="ru-RU"/>
        </w:rPr>
        <w:t xml:space="preserve">проведении Конкурса на предоставление грантов в форме субсидий юридическим лицам, осуществляющим производство, распространение и выпуск </w:t>
      </w:r>
      <w:r>
        <w:rPr>
          <w:rFonts w:ascii="Times New Roman" w:hAnsi="Times New Roman" w:cs="Times New Roman" w:eastAsia="Times New Roman"/>
          <w:color w:val="212121"/>
          <w:lang w:eastAsia="ru-RU"/>
        </w:rPr>
        <w:t xml:space="preserve">периодических печатных </w:t>
      </w:r>
      <w:r>
        <w:rPr>
          <w:rFonts w:ascii="Times New Roman" w:hAnsi="Times New Roman" w:cs="Times New Roman" w:eastAsia="Times New Roman"/>
          <w:color w:val="212121"/>
          <w:lang w:eastAsia="ru-RU"/>
        </w:rPr>
        <w:t xml:space="preserve">и</w:t>
      </w:r>
      <w:r>
        <w:rPr>
          <w:rFonts w:ascii="Times New Roman" w:hAnsi="Times New Roman" w:cs="Times New Roman" w:eastAsia="Times New Roman"/>
          <w:color w:val="212121"/>
          <w:lang w:eastAsia="ru-RU"/>
        </w:rPr>
        <w:t xml:space="preserve">зданий</w:t>
      </w:r>
      <w:bookmarkEnd w:id="2"/>
      <w:r>
        <w:t xml:space="preserve">.</w:t>
      </w:r>
      <w:r/>
    </w:p>
    <w:p>
      <w:pPr>
        <w:ind w:firstLine="426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4"/>
        <w:szCs w:val="24"/>
        <w:lang w:val="ru-RU" w:bidi="ar-SA" w:eastAsia="en-US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08"/>
    <w:link w:val="599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08"/>
    <w:link w:val="600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08"/>
    <w:link w:val="601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08"/>
    <w:link w:val="602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08"/>
    <w:link w:val="603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08"/>
    <w:link w:val="604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08"/>
    <w:link w:val="60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08"/>
    <w:link w:val="606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08"/>
    <w:link w:val="60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character" w:styleId="33">
    <w:name w:val="Title Char"/>
    <w:basedOn w:val="608"/>
    <w:link w:val="620"/>
    <w:uiPriority w:val="10"/>
    <w:rPr>
      <w:sz w:val="48"/>
      <w:szCs w:val="48"/>
    </w:rPr>
  </w:style>
  <w:style w:type="character" w:styleId="35">
    <w:name w:val="Subtitle Char"/>
    <w:basedOn w:val="608"/>
    <w:link w:val="622"/>
    <w:uiPriority w:val="11"/>
    <w:rPr>
      <w:sz w:val="24"/>
      <w:szCs w:val="24"/>
    </w:rPr>
  </w:style>
  <w:style w:type="character" w:styleId="37">
    <w:name w:val="Quote Char"/>
    <w:link w:val="624"/>
    <w:uiPriority w:val="29"/>
    <w:rPr>
      <w:i/>
    </w:rPr>
  </w:style>
  <w:style w:type="character" w:styleId="39">
    <w:name w:val="Intense Quote Char"/>
    <w:link w:val="62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8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8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8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8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paragraph" w:styleId="599">
    <w:name w:val="Heading 1"/>
    <w:basedOn w:val="598"/>
    <w:next w:val="598"/>
    <w:link w:val="611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00">
    <w:name w:val="Heading 2"/>
    <w:basedOn w:val="598"/>
    <w:next w:val="598"/>
    <w:link w:val="612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01">
    <w:name w:val="Heading 3"/>
    <w:basedOn w:val="598"/>
    <w:next w:val="598"/>
    <w:link w:val="613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02">
    <w:name w:val="Heading 4"/>
    <w:basedOn w:val="598"/>
    <w:next w:val="598"/>
    <w:link w:val="614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603">
    <w:name w:val="Heading 5"/>
    <w:basedOn w:val="598"/>
    <w:next w:val="598"/>
    <w:link w:val="615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04">
    <w:name w:val="Heading 6"/>
    <w:basedOn w:val="598"/>
    <w:next w:val="598"/>
    <w:link w:val="616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05">
    <w:name w:val="Heading 7"/>
    <w:basedOn w:val="598"/>
    <w:next w:val="598"/>
    <w:link w:val="617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06">
    <w:name w:val="Heading 8"/>
    <w:basedOn w:val="598"/>
    <w:next w:val="598"/>
    <w:link w:val="618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07">
    <w:name w:val="Heading 9"/>
    <w:basedOn w:val="598"/>
    <w:next w:val="598"/>
    <w:link w:val="619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08" w:default="1">
    <w:name w:val="Default Paragraph Font"/>
    <w:uiPriority w:val="1"/>
    <w:semiHidden/>
    <w:unhideWhenUsed/>
  </w:style>
  <w:style w:type="table" w:styleId="6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0" w:default="1">
    <w:name w:val="No List"/>
    <w:uiPriority w:val="99"/>
    <w:semiHidden/>
    <w:unhideWhenUsed/>
  </w:style>
  <w:style w:type="character" w:styleId="611" w:customStyle="1">
    <w:name w:val="Заголовок 1 Знак"/>
    <w:basedOn w:val="608"/>
    <w:link w:val="599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12" w:customStyle="1">
    <w:name w:val="Заголовок 2 Знак"/>
    <w:basedOn w:val="608"/>
    <w:link w:val="600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13" w:customStyle="1">
    <w:name w:val="Заголовок 3 Знак"/>
    <w:basedOn w:val="608"/>
    <w:link w:val="601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14" w:customStyle="1">
    <w:name w:val="Заголовок 4 Знак"/>
    <w:basedOn w:val="608"/>
    <w:link w:val="602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styleId="615" w:customStyle="1">
    <w:name w:val="Заголовок 5 Знак"/>
    <w:basedOn w:val="608"/>
    <w:link w:val="603"/>
    <w:uiPriority w:val="9"/>
    <w:semiHidden/>
    <w:rPr>
      <w:rFonts w:eastAsiaTheme="majorEastAsia" w:cstheme="majorBidi"/>
      <w:color w:val="2F5496" w:themeColor="accent1" w:themeShade="BF"/>
    </w:rPr>
  </w:style>
  <w:style w:type="character" w:styleId="616" w:customStyle="1">
    <w:name w:val="Заголовок 6 Знак"/>
    <w:basedOn w:val="608"/>
    <w:link w:val="604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17" w:customStyle="1">
    <w:name w:val="Заголовок 7 Знак"/>
    <w:basedOn w:val="608"/>
    <w:link w:val="605"/>
    <w:uiPriority w:val="9"/>
    <w:semiHidden/>
    <w:rPr>
      <w:rFonts w:eastAsiaTheme="majorEastAsia" w:cstheme="majorBidi"/>
      <w:color w:val="595959" w:themeColor="text1" w:themeTint="A6"/>
    </w:rPr>
  </w:style>
  <w:style w:type="character" w:styleId="618" w:customStyle="1">
    <w:name w:val="Заголовок 8 Знак"/>
    <w:basedOn w:val="608"/>
    <w:link w:val="606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19" w:customStyle="1">
    <w:name w:val="Заголовок 9 Знак"/>
    <w:basedOn w:val="608"/>
    <w:link w:val="607"/>
    <w:uiPriority w:val="9"/>
    <w:semiHidden/>
    <w:rPr>
      <w:rFonts w:eastAsiaTheme="majorEastAsia" w:cstheme="majorBidi"/>
      <w:color w:val="272727" w:themeColor="text1" w:themeTint="D8"/>
    </w:rPr>
  </w:style>
  <w:style w:type="paragraph" w:styleId="620">
    <w:name w:val="Title"/>
    <w:basedOn w:val="598"/>
    <w:next w:val="598"/>
    <w:link w:val="621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21" w:customStyle="1">
    <w:name w:val="Заголовок Знак"/>
    <w:basedOn w:val="608"/>
    <w:link w:val="620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22">
    <w:name w:val="Subtitle"/>
    <w:basedOn w:val="598"/>
    <w:next w:val="598"/>
    <w:link w:val="623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23" w:customStyle="1">
    <w:name w:val="Подзаголовок Знак"/>
    <w:basedOn w:val="608"/>
    <w:link w:val="622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24">
    <w:name w:val="Quote"/>
    <w:basedOn w:val="598"/>
    <w:next w:val="598"/>
    <w:link w:val="625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25" w:customStyle="1">
    <w:name w:val="Цитата 2 Знак"/>
    <w:basedOn w:val="608"/>
    <w:link w:val="624"/>
    <w:uiPriority w:val="29"/>
    <w:rPr>
      <w:i/>
      <w:iCs/>
      <w:color w:val="404040" w:themeColor="text1" w:themeTint="BF"/>
    </w:rPr>
  </w:style>
  <w:style w:type="paragraph" w:styleId="626">
    <w:name w:val="List Paragraph"/>
    <w:basedOn w:val="598"/>
    <w:uiPriority w:val="34"/>
    <w:qFormat/>
    <w:pPr>
      <w:contextualSpacing/>
      <w:ind w:left="720"/>
    </w:pPr>
  </w:style>
  <w:style w:type="character" w:styleId="627">
    <w:name w:val="Intense Emphasis"/>
    <w:basedOn w:val="608"/>
    <w:uiPriority w:val="21"/>
    <w:qFormat/>
    <w:rPr>
      <w:i/>
      <w:iCs/>
      <w:color w:val="2F5496" w:themeColor="accent1" w:themeShade="BF"/>
    </w:rPr>
  </w:style>
  <w:style w:type="paragraph" w:styleId="628">
    <w:name w:val="Intense Quote"/>
    <w:basedOn w:val="598"/>
    <w:next w:val="598"/>
    <w:link w:val="629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29" w:customStyle="1">
    <w:name w:val="Выделенная цитата Знак"/>
    <w:basedOn w:val="608"/>
    <w:link w:val="628"/>
    <w:uiPriority w:val="30"/>
    <w:rPr>
      <w:i/>
      <w:iCs/>
      <w:color w:val="2F5496" w:themeColor="accent1" w:themeShade="BF"/>
    </w:rPr>
  </w:style>
  <w:style w:type="character" w:styleId="630">
    <w:name w:val="Intense Reference"/>
    <w:basedOn w:val="608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631">
    <w:name w:val="Hyperlink"/>
    <w:basedOn w:val="608"/>
    <w:uiPriority w:val="99"/>
    <w:unhideWhenUsed/>
    <w:rPr>
      <w:color w:val="0000FF"/>
      <w:u w:val="single"/>
    </w:rPr>
  </w:style>
  <w:style w:type="character" w:styleId="632" w:customStyle="1">
    <w:name w:val="print"/>
    <w:basedOn w:val="608"/>
  </w:style>
  <w:style w:type="character" w:styleId="633" w:customStyle="1">
    <w:name w:val="plink"/>
    <w:basedOn w:val="608"/>
  </w:style>
  <w:style w:type="paragraph" w:styleId="634" w:customStyle="1">
    <w:name w:val="consplusnormal"/>
    <w:basedOn w:val="598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lang w:eastAsia="ru-RU"/>
    </w:rPr>
  </w:style>
  <w:style w:type="paragraph" w:styleId="635">
    <w:name w:val="Normal (Web)"/>
    <w:basedOn w:val="598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lang w:eastAsia="ru-RU"/>
    </w:rPr>
  </w:style>
  <w:style w:type="paragraph" w:styleId="636" w:customStyle="1">
    <w:name w:val="ConsPlusNormal"/>
    <w:pPr>
      <w:spacing w:after="0" w:line="240" w:lineRule="auto"/>
      <w:widowControl w:val="off"/>
    </w:pPr>
    <w:rPr>
      <w:rFonts w:ascii="Arial" w:hAnsi="Arial" w:cs="Arial" w:eastAsia="Times New Roman"/>
      <w:sz w:val="20"/>
      <w:szCs w:val="20"/>
      <w:lang w:eastAsia="ru-RU"/>
    </w:rPr>
  </w:style>
  <w:style w:type="character" w:styleId="637">
    <w:name w:val="Unresolved Mention"/>
    <w:basedOn w:val="608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www.ulgov.gosuslug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Гиматова Евгения Сергеевна</dc:creator>
  <cp:keywords/>
  <dc:description/>
  <cp:revision>12</cp:revision>
  <dcterms:created xsi:type="dcterms:W3CDTF">2025-12-17T08:59:00Z</dcterms:created>
  <dcterms:modified xsi:type="dcterms:W3CDTF">2026-02-11T07:09:02Z</dcterms:modified>
</cp:coreProperties>
</file>