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t xml:space="preserve">Информационное сообщение о проведении Конкурса на предоставление гранто</w:t>
      </w:r>
      <w:r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t xml:space="preserve">в в форме субсидий юридическим лицам, осуществляющим производство, распространение и выпуск информационных радиопрограмм и телепрограмм, производство и распространение выпусков сетевых изданий, в том числе информационным агентствам и информационным службам</w:t>
      </w:r>
      <w:r/>
    </w:p>
    <w:p>
      <w:pPr>
        <w:ind w:firstLine="426"/>
        <w:spacing w:after="0" w:line="240" w:lineRule="auto"/>
        <w:rPr>
          <w:rFonts w:ascii="Times New Roman" w:hAnsi="Times New Roman" w:cs="Times New Roman" w:eastAsia="Times New Roman"/>
          <w:color w:val="212121"/>
          <w:lang w:eastAsia="ru-RU"/>
        </w:rPr>
      </w:pPr>
      <w:r>
        <w:rPr>
          <w:rFonts w:ascii="Times New Roman" w:hAnsi="Times New Roman" w:cs="Times New Roman" w:eastAsia="Times New Roman"/>
          <w:color w:val="212121"/>
          <w:lang w:eastAsia="ru-RU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1. Конкурс проводится на основании постановления Правит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ельства Ульяновской области от 18.01.2019 № 11-П «Об утверждении Правил предоставления грантов в форме субсидий из областного бюджета Ульяновской области организациям, осуществляющим деятельность в сфере электронных и печатных средств массовой информации»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(далее - Правила)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течение 30-ти календарных дней с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 февраля 2026 года 10:00 до 19 марта 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10:00.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2. Организацию Конкурса осуществляет управление информационной политики администрации Губернатора Ульяновской области.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Почтовый адрес Управления: 432048, город Ульяновск, улица Пушкинская, дом 11;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Место нахождения Управления: 432017, город Ульяновск, площадь Соборная, дом 1;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адрес электронной почты Управления: dmk073@yandex.ru.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3. Конкурс проводится в следующих номинациях: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«Экономическое развитие Ульяновской области»;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«Развитие социальной и культурной сфер в Ульяновской области»;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«Сохранение и укрепление традиционных российских духовно-нравственных ценностей»;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«Реализация национальных проектов в Ульяновской области».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4. Результатами предоставления грантов являются продолжительность эфирного времени телепрограмм, количество выходов в эфир радиопрограмм, количество публикаций сетевых изданий, информационных агентств и информационных служб. Срок выполнения работ: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bookmarkStart w:id="0" w:name="_Hlk217986559"/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06.0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по 30.12.202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г.</w:t>
      </w:r>
      <w:bookmarkEnd w:id="0"/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5. Информация о грантах размещается на едином портале бюджетной системы Российской Федерации в сети «Интернет» www.budget.gov.ru 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Единый портал бюджетной системы Российской Федерации является составной ча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стью системы «Электронный бюджет» и предоставляет в режиме реального времени необходимую информацию о бюджете и бюджетном процессе в Российской Федерации, а также позволяет принимать участие всем заинтересованным гражданам в управлении бюджетным процессом.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</w:rPr>
        <w:t xml:space="preserve">Информация о грантах размещается на официальном сайте Губернатора и Правительства Ульяновской области в сети «Интер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нет» 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https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://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ulgov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.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gosuslugi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.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6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6. Требования, которым участник отбора должен соответствовать: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по состоянию на дату, непосредственно предшествующую дате представления заявки: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а) участник отбора не должен являться государственным (муниципальным) учреждением;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б) участник отбора должен иметь опыт деятельности в сфере средств массовой информации на протяжении не менее одного года;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в) участник отбора не дол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акционерных обществ (в том числе со статусом международной комп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г) участник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д) участник отбора не должен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находиться в составляемых в рамках реализации полномочий, предусмотренных главой VII Устава ООН, Советом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те же цели, предусмотренные настоящим Конкурсом;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ж) участник отбора не должен являться иностранным агентом в соответствии с Федеральным законом от 14.07.2022 N 255-ФЗ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з) у участника отбора должна отсутствовать просроченная задолженность по возврату в о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и) участник отбора не должен находиться в процессе реорганизации (з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к) участнику отбора не должно бы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ть назначено административное наказание за нарушение условий предоставления иных субсидий (грантов в форме субсидий) из областного бюджета Ульяновской области, если срок, в течение которого участник отбора считается подвергнутым такому наказанию, не истек;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по состоянию на дату, которая предшествует дате представления в Управление заявки не более чем на 30 календарных дней, у участника отбора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7. Для подтверждения соответствия требованиям участник в системе «Электронный бюджет»: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формирует заявку в электронной форме посредством заполнения соответствующих экранных форм веб-интерфейса;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проставляет чек-бокс при подтверждении соответствия требованиям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  </w:t>
      </w:r>
      <w:r>
        <w:rPr>
          <w:rFonts w:ascii="Times New Roman" w:hAnsi="Times New Roman" w:cs="Times New Roman"/>
          <w:color w:val="000000" w:themeColor="text1"/>
        </w:rPr>
        <w:t xml:space="preserve">размещает электронную копию свидетельства о регистрации СМИ в разделе «Требования к участникам» для подтверждения соответствия подпункту 1 пункта 6 настоящего объявления.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8. Получателями грантов являются юридические лица (за исключением государственных (муниципальных) учреждений), осуществляющие производство,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распространение и выпуск информационных (в том числе новостных) радиопрограмм и телепрограмм, производство и распространение выпусков (обновлений) сетевых изданий и предоставление доступа к ним, в том числе информационные агентства и информационные службы.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9. Для участия в Конкурсе участники отбора в течение срока приема заявок, указанного в информационном сообщении, формируют заявку в электронной форме,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которая подписывается усиленной квалифицированной электронной подписью лица, исполняющего функции единоличного исполнительного органа участника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Датой и временем представления участником отбора заявки считаются дата и время подписания заявки с присвоением ей регистрационного номера в системе «Электронный бюджет».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 заявке прилагаются: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выписка из Единого государственного реестра юридических лиц;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образец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концепция производства продукции СМИ, содержащая: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описание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сведения о целях и задачах производства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информацию о количественных параметрах и технических характеристиках продукции СМИ (тираже, количестве выходов в свет (в эфир), продолжительности);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информацию о целевой аудитории, на которую рассчитана продукция СМИ, и предполагаемом уровне востребованности и значимости указанной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степень новизны, оригинальности и актуальности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информацию о форме, способах и методах реализации продукции СМИ, позволяющую судить о творческих характеристиках представленной концепции (новизне и оригинальности, концептуальной целостности и уникальности содержания);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свед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 об осуществлении информационного сопровождения и продвижения продукции СМИ, в том числе о взаимодействии в указанных целях участника отбора с иными организациями, деятельность которых связана с производством, распространением и выпуском продукции СМИ.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смета затрат, указанных в </w:t>
      </w:r>
      <w:hyperlink w:tooltip="6. Гранты предоставляются в целях финансового обеспечения следующих затрат участников отбора, связанных с производством, распространением и выпуском продукции СМИ:" w:anchor="P5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Правил, которая оформляется посредством заполнения экранных форм веб-интерфейса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бюджет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справк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налогового органа об исполнении участником отбора обязанности по уплате налогов, сборов и страховых взносов в бюджеты бюджетной системы Российской Федерации, выданной налоговым органом не ранее 30 календарных дней до даты представления заявки в Управление;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согласи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публикацию (размещение) в сети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об участнике отбора, о представляемой участником отбора заявке, иной информации об участнике отбора, связанной с Конкурсом, которое подтверждается посредством заполнения соответствующих экранных форм веб-интерфейса системы "Электронный бюджет";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справк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 или отсутствие у участника отбора страниц в информационных системах и (или) программах для электронных вычислительных машин (далее - социальные сети), с приложением сведений о странице в социальной сети в случае ее наличия;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P133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справк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содержащ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данные о численности аудитории или численнос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 уникальных посетителей СМИ, с приложением сведений из официальных источников. При этом численность уникальных посетителей СМИ определяется как среднемесячное число посетителей СМИ в календарном году, предшествующем году, в котором представляется заявка;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справк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содержащ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об участии участника отбора в региональных, федеральных,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международных конкурсах в сфере СМИ и информацию о наличии или отсутствии у участника отбора и (или) его работников, осуществляющих производство продукции СМИ, наград и иных поощрений в сфере СМИ, с приложением документов, подтверждающих такую информацию.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Документы, электронные копии которых прилагаются к заявке, должны быть оформлены в соответствии с требованиями законодательства Росси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йской Федерации. Не допускается представление документов, на которых отсутствуют подпись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тексты документов не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поддаются прочтению или представленные документы содержат противоречивые сведения.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Электронные копии документов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10. Критериями оценки заявок и приложенным к ним документов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численность аудитории и (или) уникальных посетителей СМИ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При этом численность уникальных посетителей СМИ определяется как среднемесячное число посетителей СМИ в календарном году, предшествующем году, в котором представляется заявка.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степень новизны, актуальности и оригинальности продукции СМИ.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участие участника отбора в региональных, федеральных, международных конкурсах в сфере СМИ, наличие у участника отбора наград и иных поощрений в сфере СМИ.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количество социальных сетей, в которых у участника отбора имеются страницы.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11. Участник отбора вправе отозвать предст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авленную заявку до истечения 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Управление возвращает участнику отбора заявку в срок не позднее 5 рабочих дней со дня поступления уведомления.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Участник отбора вправе внести изменение в заявку до истечения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отбора, и формирования новой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12. Не позднее 1-го рабочего дня, следующего за днем начала срока приема заявок, открывается доступ к заявкам в системе «Электронный бюджет».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случаях установления неполноты содержащихся в заявках сведений Управление возвращает их на доработку.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Решение о возврате участнику отбора заявки на доработку оформляется посредством заполнения экранных форм веб-интерфейса единого портала, и в нем указываются положения заявки, нуждающиеся в доработке.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Участник отбора формирует доработанную заявку и повторно представляет её не позднее 3-го рабочего дня, следующего за днем направления заявки на доработку, но не позднее дня окончания срока приема заявок.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13. Не позднее 14 календарных дней, следующих за днем ок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ончания срока приема заявок, установленного в информационном сообщении, оформляется протокол вскрытия заявок. Заявка признается надлежащей, если она соответствует требованиям, указанным в информационном сообщении, и отсутствуют основания для её отклонения.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по результатам 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ссмотрения заявок единственная заявка признана надлежащей, а также в случае, если в течение срока приема заявок, указанного в информационном сообщении, представлена только одна заявка, признанная надлежащей, участник отбора признается победителем Конкурса.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в течение срока приема заявок, указанного в информационном сообщении, не представлено ни одной заявки либо ни одна из заявок не признана надлежащей, Конкурс признается несостоявшимся.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14. Основаниями для отклонения заявки по результатам рассмотрения заявок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несоответствие участника отбора требованиям, указанным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непредставление и (или) представление не в полном объеме документов, указанных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несоответствие представленных участником отбора документов и (или) заявки требованиям, указанным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недостоверность информации, содержащейся в документах, представленных в целях подтверждения соответствия участника отбора требованиям;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5) представление заявки после даты, определенной в информационном сообщении для представления заявок.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15. Оценка заявок осуществляется Комиссией не позднее 14 календарных дней с даты принятия решения о признании заявок надлежащими.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Члены Комиссии оценивают заявки с приложенными к ним электронными копиями документов с использованием 100-балльной шкалы оценки на предмет их соответствия каждому из следующих критериев: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численность аудитории и (или) уникальных посетителей СМИ (коэффициент весового значения критерия в общей оценке - 0,3):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у выпускаемых (производимых, распространяемых) участником отбора СМИ численности аудитории и (или) уникальных посетителей;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30 баллов - в случае, если участник отбора осуществляет выпуск телепрограмм, имеющих численность аудитории до 100 тысяч человек, или радиопрограмм, имеющих численность аудитории до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тысяч человек, участник отбора осуществляет производство, распространение выпусков сетевых изданий (в том числе информационных агентств и информационных служб), имеющих численность уникальных посетителей до 2 млн. человек, и предоставление доступа к ним;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60 баллов - в случае, если участник отбора осуществляет выпуск телепрограмм, имеющих численность аудитории от 100 до 150 тысяч человек, или радиопрограмм, имеющих численность аудитории от 200 до 800 тысяч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человек, участник - отбора осуществляет производство, распространение выпусков сетевых изданий (в том числе информационных агентств и информационных служб), имеющих численность уникальных посетителей от 2 до 15 млн. человек, и предоставление доступа к ним;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100 баллов - в случае, если участник отбора осуществляет выпуск телепрограмм, имеющих численность аудитории свыше 150 тысяч человек, или радиопрограмм, имеющих численность аудитории свыше 800 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сяч человек, участник отбора осуществляет производство, распространение выпусков сетевых изданий (в том числе информационных агентств и информационных служб), имеющих численность уникальных посетителей свыше 15 млн. человек, и предоставление доступа к ним;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степень новизны, актуальности и оригинальности продукции СМИ (коэффициент весового значения критерия в общей оценке - 0,3):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баллов, если концепция производства продукции СМИ полностью повторяет опыт прошлых лет, тематика не актуальна, предложения и решения подготовки информационных материалов не уникальны, имеют заимствования из других источников;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баллов, если в концепции производства продукции СМИ предусмотрено обновление тематики, затрагиваются актуальные вопросы жизни в Ульяновской области, информационные сообщения уникальны;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баллов, если концепция производства продукции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предусматривает изменение подхода к подготовке информационных сообщений, продукция СМИ не имеет аналогов, предлагаются новые проекты и решения подготовки информационных материалов, темы соответствуют актуальным направлениям развития Ульяновской области;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участника отбора в региональных, федеральных, международных конкурсах в сфере СМИ, наличие у участника отбора наград и иных поощрений в сфере СМИ (коэффициент весового значения критерия в общей оценке - 0,2):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информации об участии участника отбора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региональных, федеральных, международных конкурсах в сфере СМИ и отсутствия у участника отбора наград и иных поощрений в сфере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 - в случае наличия информации об участии участника отбо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 в региональных, федеральных, международных конкурсах в сфере СМИ или наличия у участника отбора и (или) его работников, осуществляющих производство продукции СМИ, наград и иных поощрений в сфере СМИ, в том числе благодарностей, премий, дипломов, грамот;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 - в случае наличия информации об участии участника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бора в региональных, федеральных, международных конкурсах в сфере СМИ и наличия у участника отбора и (или) его работников, осуществляющих производство продукции СМИ, наград и иных поощрений в сфере СМИ, в том числе благодарностей, премий, дипломов, грамот;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количество социальных сетей, в которых у участника отбора имеются страницы (коэффициент весового значения критерия в общей оценке - 0,2):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у участника отбора страниц в социальных сетях;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 - в случае наличия у участника отбора одной или двух страниц в социальных сетях;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 - в случае наличия у участника отбора более двух страниц в социальных сетях.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Итоговое количество баллов оцениваемой заявки определяется путем умножения среднего арифметического суммы баллов по каждому критерию, на соответствующий коэффициент весового значения критерия в общей оценке и дальнейшего сложения полученных значений.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Победителями Конкурса в каждой из его номинаций признаются д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опущенные к участию в Конкурсе организации СМИ, набравшие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по результатам оценки заявок итоговое количество баллов, полученное каждой представленной заявкой, составило 0 баллов, Конкурс считается несостоявшимся.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16. В целях оценки заявок и определения победителей Конкурса создается Комиссия, в состав которой входят эксперты, осуществляющие деятельность и имеющие опыт в сфере СМИ.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Формирование конкурсной комиссии, полномочиями которой являются вскрытие заявок и подписание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протоколов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на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едином портале усиленной квалифицированной электронной подписью, не требуется.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17. Решение о предоставлении гранта или решение об отказе в предоставлении гранта оформляется распоряжением Правительства Ульяновской области и направляется участнику отбора посредством использов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ания системы «Электронный бюджет». В случае принятия Правительством Ульяновской области решения об отказе в предоставлении гранта в уведомлении об отказе в предоставлении гранта излагаются обстоятельства, послужившие основанием для принятия такого решения.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Основаниями для принятия Правительством Ульяновской области решения об отказе в предоставлении гранта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отклонение заявки, за исключением случая, если участником отбора устранены обстоятельства, послужившие основанием для принятия решения об отклонении заявки;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несоответствие участника отбора установленным требованиям;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присвоение заявке, представленной участником отбора, наименьшего количества баллов в порядке очередности в рамках лимитов бюджетных обязательств;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недостаточность лимитов бюджетных обязательств на предоставление грантов, доведенных до Правительства Ульяновской области как получателя средств областного бюджета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5) отзыв заявки участником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18. Размер грантов и предельное число победителей Конкурса в каждой номинации Конкурса определяются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распоряжением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Правительства Ульяновской области и составляет: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в номинации «Экономическое развитие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4500,0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один грант в размере 2000,0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в) один грант в размере 1000,0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г) два гранта в размере 3000,0 тыс. рублей на информационную поддержку мероприятий, проводимых на территории Ульяновской области, осуществляемую посредством телевещания в федеральном цифровом мультиплексе; 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д) два гранта в размере 1000,0 тыс. рублей на информационную поддержку мероприятий, проводимых на территории Ульяновской области, осуществляемую посредством радиовещания;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е) четыре гранта в размере 1000,0 тыс. рублей на информационную поддержку мероприяти</w:t>
      </w:r>
      <w:r>
        <w:rPr>
          <w:rFonts w:ascii="Times New Roman" w:hAnsi="Times New Roman" w:cs="Times New Roman"/>
          <w:color w:val="000000" w:themeColor="text1"/>
        </w:rPr>
        <w:t xml:space="preserve">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Российской Федерации, за исключением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ж) два гранта в размере 1000,0 тыс. рублей н</w:t>
      </w:r>
      <w:r>
        <w:rPr>
          <w:rFonts w:ascii="Times New Roman" w:hAnsi="Times New Roman" w:cs="Times New Roman"/>
          <w:color w:val="000000" w:themeColor="text1"/>
        </w:rPr>
        <w:t xml:space="preserve">а информационную поддержку мероприятий,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в номинации «Развитие социальной и культурной сфер в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4500,0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два гранта в размере 2000,0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в) два гранта в размере 3000,0 тыс. рублей на информационную поддержку мероприятий, проводимых на территории Ульяновской области, осуществляемую посредством телевещания в федеральном цифровом мультиплексе;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г) два гранта в размере 2000,0 тыс. рублей на информационную поддержку мероприятий, проводимых на территории Ульяновской области, осуществляемую посредством радиовещания;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д) четыре гранта в размере 1000,0 тыс. рублей на информационную поддержку мероприяти</w:t>
      </w:r>
      <w:r>
        <w:rPr>
          <w:rFonts w:ascii="Times New Roman" w:hAnsi="Times New Roman" w:cs="Times New Roman"/>
          <w:color w:val="000000" w:themeColor="text1"/>
        </w:rPr>
        <w:t xml:space="preserve">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Российской Федерации, за исключением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е) два гранта в размере 1000,0 тыс. рублей н</w:t>
      </w:r>
      <w:r>
        <w:rPr>
          <w:rFonts w:ascii="Times New Roman" w:hAnsi="Times New Roman" w:cs="Times New Roman"/>
          <w:color w:val="000000" w:themeColor="text1"/>
        </w:rPr>
        <w:t xml:space="preserve">а информационную поддержку мероприятий,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в номинации «Сохранение и укрепление традиционных российских духовно-нравственных ценностей»: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4500,0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один грант в размере 2000,0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в) два гранта в размере 3000,0 тыс. рублей на информационную поддержку мероприятий, проводимых на территории Ульяновской области, осуществляемую посредством телевещания в федеральном цифровом мультиплексе;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г) один грант в размере 1000,0 тыс. рублей на информационную поддержку мероприятий, проводимых на территории Ульяновской области, осуществляемую посредством радиовещания;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д) два гранта в размере 1000,0 тыс. рублей н</w:t>
      </w:r>
      <w:r>
        <w:rPr>
          <w:rFonts w:ascii="Times New Roman" w:hAnsi="Times New Roman" w:cs="Times New Roman"/>
          <w:color w:val="000000" w:themeColor="text1"/>
        </w:rPr>
        <w:t xml:space="preserve">а информационную поддержку мероприятий,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в номинации «Реализация национальных проектов в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4500,0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один грант в размере 2000,0 тыс. рублей на информационную поддержку мероприятий, проводимых на территории Ульяновской области посредством телевещания;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в) два гранта в размере 3000,0 тыс. рублей на информационную поддержку мероприятий, проводимых на территории Ульяновской области, осуществляемую посредством телевещания в федеральном цифровом мультиплексе;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720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г) два гранта в размере 1000,0 тыс. рублей на информационную поддержку мероприятий, проводимых на территории Ульяновской области, осуществляемую посредством радиовещания;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д) два гранта в размере 1000,0 тыс. рублей на информационную поддержку мероприяти</w:t>
      </w:r>
      <w:r>
        <w:rPr>
          <w:rFonts w:ascii="Times New Roman" w:hAnsi="Times New Roman" w:cs="Times New Roman"/>
          <w:color w:val="000000" w:themeColor="text1"/>
        </w:rPr>
        <w:t xml:space="preserve">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Российской Федерации, за исключением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е) два гранта в размере 1000,0 тыс. рублей н</w:t>
      </w:r>
      <w:r>
        <w:rPr>
          <w:rFonts w:ascii="Times New Roman" w:hAnsi="Times New Roman" w:cs="Times New Roman"/>
          <w:color w:val="000000" w:themeColor="text1"/>
        </w:rPr>
        <w:t xml:space="preserve">а информационную поддержку мероприятий, проводимых на территории Ульяновской области, осуществляемую сетевыми изданиями, в том числе информационными агентствами, информационными службами, редакции которых зарегистрированы на территории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Распред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еление грантов осуществляется организациям СМИ, набравшим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19. В целях завершения Конкурса и определения победителей формируется протокол, включающий информацию о количестве набранных участником отбора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баллов по каждому критерию оценки, об общем количестве набранных баллов по результатам оценки заявок, о победителях Конкурса с указанием размеров грантов, предусмотренных им для предоставления, об отклонении заявок с указанием оснований для их отклонения.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Протокол автоматически формируется и размещается на едином портале не позднее 1-го рабочего дня, следующего за днем его подписания.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Упра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вление размещает протокол на официальном сайте Губернатора и Правительства Ульяновской области и едином портале бюджетной системы Российской Федерации в сети «Интернет» не позднее 14-го календарного дня, следующего за днём определения победителей конкурса.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20. Разъяснения положений Конкурса осуществляется в течение 30-ти календарных дней с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 февраля 2026 года до 16 марта 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</w:t>
      </w:r>
      <w:r>
        <w:rPr>
          <w:rFonts w:ascii="Times New Roman" w:hAnsi="Times New Roman" w:cs="Times New Roman"/>
          <w:color w:val="000000" w:themeColor="text1"/>
        </w:rPr>
        <w:t xml:space="preserve"> в рабочие дни с 09.00 до 18.00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в устной и (или) письменной форме после направления запроса на разъяснения на электронную почту gurianova_z@mail.ru. Срок ответа на запрос – не более трёх рабочих дней.</w:t>
      </w: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21. Правительство Ульяновской области не позднее 30 дней со дня принятия им решения о предоставлении грантов заключает с победителями Конкурса Соглашение в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Получатель гранта признается уклонившимся от заключени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я Соглашения в случае, если он не подписал такое Соглашение в течение указанного в информационном сообщении срока со дня поступления Соглашения на подписание и не направил возражения по проекту указанного Соглашения. В этом случае грант не предоставляется.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Обращаем внимание, что с 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.1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официальный сайт Губернатора и Правительства Ульяновской области создан в подсистеме «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Госвеб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» и находится по адресу </w:t>
      </w:r>
      <w:hyperlink r:id="rId8" w:tooltip="http://www.ulgov.gosuslugi.ru" w:history="1">
        <w:r>
          <w:rPr>
            <w:rStyle w:val="632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www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ulgov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gosuslugi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2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С 01.01.2026 года на указанном сайте будет располагаться вся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информация о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проведении Конкурса на предоставление гранто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в форме субсидий юридическим лицам, осуществляющим производство, распространение и выпуск информационных радиопрограмм и телепрограмм, производство и распространение выпусков сетевых изданий, в том числе информационным агентствам и информационным 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службам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.</w:t>
      </w:r>
      <w:r/>
    </w:p>
    <w:p>
      <w:pPr>
        <w:ind w:firstLine="426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8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8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8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8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08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08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08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08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08"/>
    <w:link w:val="60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08"/>
    <w:link w:val="620"/>
    <w:uiPriority w:val="10"/>
    <w:rPr>
      <w:sz w:val="48"/>
      <w:szCs w:val="48"/>
    </w:rPr>
  </w:style>
  <w:style w:type="character" w:styleId="35">
    <w:name w:val="Subtitle Char"/>
    <w:basedOn w:val="608"/>
    <w:link w:val="622"/>
    <w:uiPriority w:val="11"/>
    <w:rPr>
      <w:sz w:val="24"/>
      <w:szCs w:val="24"/>
    </w:rPr>
  </w:style>
  <w:style w:type="character" w:styleId="37">
    <w:name w:val="Quote Char"/>
    <w:link w:val="624"/>
    <w:uiPriority w:val="29"/>
    <w:rPr>
      <w:i/>
    </w:rPr>
  </w:style>
  <w:style w:type="character" w:styleId="39">
    <w:name w:val="Intense Quote Char"/>
    <w:link w:val="62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1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00">
    <w:name w:val="Heading 2"/>
    <w:basedOn w:val="598"/>
    <w:next w:val="598"/>
    <w:link w:val="61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01">
    <w:name w:val="Heading 3"/>
    <w:basedOn w:val="598"/>
    <w:next w:val="598"/>
    <w:link w:val="61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02">
    <w:name w:val="Heading 4"/>
    <w:basedOn w:val="598"/>
    <w:next w:val="598"/>
    <w:link w:val="61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03">
    <w:name w:val="Heading 5"/>
    <w:basedOn w:val="598"/>
    <w:next w:val="598"/>
    <w:link w:val="61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4">
    <w:name w:val="Heading 6"/>
    <w:basedOn w:val="598"/>
    <w:next w:val="598"/>
    <w:link w:val="61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05">
    <w:name w:val="Heading 7"/>
    <w:basedOn w:val="598"/>
    <w:next w:val="598"/>
    <w:link w:val="61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06">
    <w:name w:val="Heading 8"/>
    <w:basedOn w:val="598"/>
    <w:next w:val="598"/>
    <w:link w:val="61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07">
    <w:name w:val="Heading 9"/>
    <w:basedOn w:val="598"/>
    <w:next w:val="598"/>
    <w:link w:val="61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 w:customStyle="1">
    <w:name w:val="Заголовок 1 Знак"/>
    <w:basedOn w:val="608"/>
    <w:link w:val="59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12" w:customStyle="1">
    <w:name w:val="Заголовок 2 Знак"/>
    <w:basedOn w:val="608"/>
    <w:link w:val="60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13" w:customStyle="1">
    <w:name w:val="Заголовок 3 Знак"/>
    <w:basedOn w:val="608"/>
    <w:link w:val="60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14" w:customStyle="1">
    <w:name w:val="Заголовок 4 Знак"/>
    <w:basedOn w:val="608"/>
    <w:link w:val="60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15" w:customStyle="1">
    <w:name w:val="Заголовок 5 Знак"/>
    <w:basedOn w:val="608"/>
    <w:link w:val="603"/>
    <w:uiPriority w:val="9"/>
    <w:semiHidden/>
    <w:rPr>
      <w:rFonts w:eastAsiaTheme="majorEastAsia" w:cstheme="majorBidi"/>
      <w:color w:val="2F5496" w:themeColor="accent1" w:themeShade="BF"/>
    </w:rPr>
  </w:style>
  <w:style w:type="character" w:styleId="616" w:customStyle="1">
    <w:name w:val="Заголовок 6 Знак"/>
    <w:basedOn w:val="608"/>
    <w:link w:val="60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17" w:customStyle="1">
    <w:name w:val="Заголовок 7 Знак"/>
    <w:basedOn w:val="608"/>
    <w:link w:val="605"/>
    <w:uiPriority w:val="9"/>
    <w:semiHidden/>
    <w:rPr>
      <w:rFonts w:eastAsiaTheme="majorEastAsia" w:cstheme="majorBidi"/>
      <w:color w:val="595959" w:themeColor="text1" w:themeTint="A6"/>
    </w:rPr>
  </w:style>
  <w:style w:type="character" w:styleId="618" w:customStyle="1">
    <w:name w:val="Заголовок 8 Знак"/>
    <w:basedOn w:val="608"/>
    <w:link w:val="60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19" w:customStyle="1">
    <w:name w:val="Заголовок 9 Знак"/>
    <w:basedOn w:val="608"/>
    <w:link w:val="607"/>
    <w:uiPriority w:val="9"/>
    <w:semiHidden/>
    <w:rPr>
      <w:rFonts w:eastAsiaTheme="majorEastAsia" w:cstheme="majorBidi"/>
      <w:color w:val="272727" w:themeColor="text1" w:themeTint="D8"/>
    </w:rPr>
  </w:style>
  <w:style w:type="paragraph" w:styleId="620">
    <w:name w:val="Title"/>
    <w:basedOn w:val="598"/>
    <w:next w:val="598"/>
    <w:link w:val="62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1" w:customStyle="1">
    <w:name w:val="Заголовок Знак"/>
    <w:basedOn w:val="608"/>
    <w:link w:val="6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2">
    <w:name w:val="Subtitle"/>
    <w:basedOn w:val="598"/>
    <w:next w:val="598"/>
    <w:link w:val="62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23" w:customStyle="1">
    <w:name w:val="Подзаголовок Знак"/>
    <w:basedOn w:val="608"/>
    <w:link w:val="62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24">
    <w:name w:val="Quote"/>
    <w:basedOn w:val="598"/>
    <w:next w:val="598"/>
    <w:link w:val="62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25" w:customStyle="1">
    <w:name w:val="Цитата 2 Знак"/>
    <w:basedOn w:val="608"/>
    <w:link w:val="624"/>
    <w:uiPriority w:val="29"/>
    <w:rPr>
      <w:i/>
      <w:iCs/>
      <w:color w:val="404040" w:themeColor="text1" w:themeTint="BF"/>
    </w:rPr>
  </w:style>
  <w:style w:type="paragraph" w:styleId="626">
    <w:name w:val="List Paragraph"/>
    <w:basedOn w:val="598"/>
    <w:uiPriority w:val="34"/>
    <w:qFormat/>
    <w:pPr>
      <w:contextualSpacing/>
      <w:ind w:left="720"/>
    </w:pPr>
  </w:style>
  <w:style w:type="character" w:styleId="627">
    <w:name w:val="Intense Emphasis"/>
    <w:basedOn w:val="608"/>
    <w:uiPriority w:val="21"/>
    <w:qFormat/>
    <w:rPr>
      <w:i/>
      <w:iCs/>
      <w:color w:val="2F5496" w:themeColor="accent1" w:themeShade="BF"/>
    </w:rPr>
  </w:style>
  <w:style w:type="paragraph" w:styleId="628">
    <w:name w:val="Intense Quote"/>
    <w:basedOn w:val="598"/>
    <w:next w:val="598"/>
    <w:link w:val="62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29" w:customStyle="1">
    <w:name w:val="Выделенная цитата Знак"/>
    <w:basedOn w:val="608"/>
    <w:link w:val="628"/>
    <w:uiPriority w:val="30"/>
    <w:rPr>
      <w:i/>
      <w:iCs/>
      <w:color w:val="2F5496" w:themeColor="accent1" w:themeShade="BF"/>
    </w:rPr>
  </w:style>
  <w:style w:type="character" w:styleId="630">
    <w:name w:val="Intense Reference"/>
    <w:basedOn w:val="60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31" w:customStyle="1">
    <w:name w:val="print"/>
    <w:basedOn w:val="608"/>
  </w:style>
  <w:style w:type="character" w:styleId="632">
    <w:name w:val="Hyperlink"/>
    <w:basedOn w:val="608"/>
    <w:uiPriority w:val="99"/>
    <w:unhideWhenUsed/>
    <w:rPr>
      <w:color w:val="0000FF"/>
      <w:u w:val="single"/>
    </w:rPr>
  </w:style>
  <w:style w:type="character" w:styleId="633" w:customStyle="1">
    <w:name w:val="plink"/>
    <w:basedOn w:val="608"/>
  </w:style>
  <w:style w:type="paragraph" w:styleId="634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lang w:eastAsia="ru-RU"/>
    </w:rPr>
  </w:style>
  <w:style w:type="paragraph" w:styleId="635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lang w:eastAsia="ru-RU"/>
    </w:rPr>
  </w:style>
  <w:style w:type="paragraph" w:styleId="636" w:customStyle="1">
    <w:name w:val="ConsPlusNormal"/>
    <w:pPr>
      <w:spacing w:after="0" w:line="240" w:lineRule="auto"/>
      <w:widowControl w:val="off"/>
    </w:pPr>
    <w:rPr>
      <w:rFonts w:ascii="Arial" w:hAnsi="Arial" w:cs="Arial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ulgov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revision>19</cp:revision>
  <dcterms:created xsi:type="dcterms:W3CDTF">2025-12-17T08:58:00Z</dcterms:created>
  <dcterms:modified xsi:type="dcterms:W3CDTF">2026-02-11T07:09:01Z</dcterms:modified>
</cp:coreProperties>
</file>